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S2-2005298</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bookmarkStart w:id="0" w:name="_GoBack"/>
      <w:bookmarkEnd w:id="0"/>
    </w:p>
    <w:p>
      <w:pPr>
        <w:ind w:left="2127" w:hanging="2127"/>
        <w:rPr>
          <w:rFonts w:ascii="Arial" w:hAnsi="Arial" w:cs="Arial"/>
          <w:b/>
          <w:lang w:eastAsia="ko-KR"/>
        </w:rPr>
      </w:pPr>
      <w:r>
        <w:rPr>
          <w:rFonts w:ascii="Arial" w:hAnsi="Arial" w:cs="Arial"/>
          <w:b/>
        </w:rPr>
        <w:t>Title:</w:t>
      </w:r>
      <w:r>
        <w:rPr>
          <w:rFonts w:ascii="Arial" w:hAnsi="Arial" w:cs="Arial"/>
          <w:b/>
        </w:rPr>
        <w:tab/>
        <w:t>KI #3, New Sol: Extension of 5G RG solution to support Ethernet PDU Session types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pPr>
        <w:ind w:left="2127" w:hanging="2127"/>
        <w:rPr>
          <w:rFonts w:ascii="Arial" w:hAnsi="Arial" w:cs="Arial"/>
          <w:b/>
        </w:rPr>
      </w:pPr>
      <w:r>
        <w:rPr>
          <w:rFonts w:ascii="Arial" w:hAnsi="Arial" w:cs="Arial"/>
          <w:b/>
        </w:rPr>
        <w:t>Work Item / Release:</w:t>
      </w:r>
      <w:r>
        <w:rPr>
          <w:rFonts w:ascii="Arial" w:hAnsi="Arial" w:cs="Arial"/>
          <w:b/>
        </w:rPr>
        <w:tab/>
        <w:t>FS_ATSSS_Ph2 / Rel-17</w:t>
      </w:r>
    </w:p>
    <w:p>
      <w:pPr>
        <w:rPr>
          <w:rFonts w:ascii="Arial" w:hAnsi="Arial" w:cs="Arial"/>
          <w:i/>
        </w:rPr>
      </w:pPr>
      <w:r>
        <w:rPr>
          <w:rFonts w:ascii="Arial" w:hAnsi="Arial" w:cs="Arial"/>
          <w:i/>
        </w:rPr>
        <w:t>Abstract of the contribution: This paper proposes a new solution to Key Issue #3.</w:t>
      </w:r>
    </w:p>
    <w:p>
      <w:pPr>
        <w:pStyle w:val="1"/>
        <w:jc w:val="both"/>
      </w:pPr>
      <w:r>
        <w:t>Background</w:t>
      </w:r>
    </w:p>
    <w:p>
      <w:pPr>
        <w:pStyle w:val="B1"/>
        <w:ind w:left="0" w:firstLine="0"/>
        <w:rPr>
          <w:lang w:eastAsia="ko-KR"/>
        </w:rPr>
      </w:pPr>
      <w:r>
        <w:rPr>
          <w:rFonts w:hint="eastAsia"/>
          <w:lang w:eastAsia="ko-KR"/>
        </w:rPr>
        <w:t>In Rel-16 ATSS</w:t>
      </w:r>
      <w:r>
        <w:rPr>
          <w:lang w:eastAsia="ko-KR"/>
        </w:rPr>
        <w:t>S, ATSSS interworking for 5G-RG, i.e. MA PDU Session with 3GPP access leg over EPC and Non-3GPP access leg over 5GC, is introduced without significant impact to EPC. So the same solution can be used for general UEs. However, there is a limitation that only for IP-based PDU Session is supported.</w:t>
      </w:r>
    </w:p>
    <w:p>
      <w:pPr>
        <w:pStyle w:val="B1"/>
        <w:ind w:left="0" w:firstLine="0"/>
        <w:rPr>
          <w:lang w:eastAsia="ko-KR"/>
        </w:rPr>
      </w:pPr>
      <w:r>
        <w:rPr>
          <w:lang w:eastAsia="ko-KR"/>
        </w:rPr>
        <w:t xml:space="preserve">In Rel-17, because we are extending the ATSSS interworking for 5G-RG to general UEs, it is reasonable to extend supported session types to Ethernet </w:t>
      </w:r>
      <w:r>
        <w:rPr>
          <w:rFonts w:hint="eastAsia"/>
          <w:lang w:eastAsia="ko-KR"/>
        </w:rPr>
        <w:t>PDU Session type</w:t>
      </w:r>
      <w:r>
        <w:rPr>
          <w:lang w:eastAsia="ko-KR"/>
        </w:rPr>
        <w:t>.</w:t>
      </w:r>
    </w:p>
    <w:p>
      <w:pPr>
        <w:jc w:val="both"/>
        <w:rPr>
          <w:lang w:eastAsia="ko-KR"/>
        </w:rPr>
      </w:pPr>
    </w:p>
    <w:p>
      <w:pPr>
        <w:pStyle w:val="1"/>
        <w:jc w:val="both"/>
      </w:pPr>
      <w:r>
        <w:t>Proposal</w:t>
      </w:r>
    </w:p>
    <w:p>
      <w:pPr>
        <w:jc w:val="both"/>
        <w:rPr>
          <w:lang w:eastAsia="ko-KR"/>
        </w:rPr>
      </w:pPr>
      <w:r>
        <w:rPr>
          <w:lang w:eastAsia="ko-KR"/>
        </w:rPr>
        <w:t>It is proposed to capture the following solution to TR 23.700-93.</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1" w:name="_Toc510607499"/>
      <w:bookmarkStart w:id="2" w:name="_Toc518306733"/>
    </w:p>
    <w:p>
      <w:pPr>
        <w:pStyle w:val="2"/>
      </w:pPr>
      <w:bookmarkStart w:id="3" w:name="_Toc31114358"/>
      <w:bookmarkStart w:id="4" w:name="_Toc31120381"/>
      <w:r>
        <w:t>6.X</w:t>
      </w:r>
      <w:r>
        <w:tab/>
        <w:t xml:space="preserve">Solution #&lt;X&gt;: </w:t>
      </w:r>
      <w:bookmarkEnd w:id="3"/>
      <w:bookmarkEnd w:id="4"/>
      <w:r>
        <w:t xml:space="preserve">Extension of 5G RG solution to support </w:t>
      </w:r>
      <w:r>
        <w:rPr>
          <w:rFonts w:hint="eastAsia"/>
          <w:lang w:eastAsia="ko-KR"/>
        </w:rPr>
        <w:t xml:space="preserve">Ethernet </w:t>
      </w:r>
      <w:r>
        <w:t>PDU Session types</w:t>
      </w:r>
    </w:p>
    <w:p>
      <w:pPr>
        <w:pStyle w:val="30"/>
        <w:rPr>
          <w:lang w:eastAsia="ko-KR"/>
        </w:rPr>
      </w:pPr>
      <w:bookmarkStart w:id="5" w:name="_Toc16839383"/>
      <w:bookmarkStart w:id="6" w:name="_Toc21087542"/>
      <w:bookmarkStart w:id="7" w:name="_Toc23326076"/>
      <w:bookmarkStart w:id="8" w:name="_Toc23517597"/>
      <w:bookmarkStart w:id="9" w:name="_Toc23519156"/>
      <w:bookmarkStart w:id="10" w:name="_Toc43336555"/>
      <w:bookmarkStart w:id="11" w:name="_Toc43708109"/>
      <w:bookmarkStart w:id="12" w:name="_Toc43708183"/>
      <w:bookmarkStart w:id="13" w:name="_Toc43708259"/>
      <w:r>
        <w:rPr>
          <w:lang w:eastAsia="ko-KR"/>
        </w:rPr>
        <w:t>6.X.1</w:t>
      </w:r>
      <w:r>
        <w:rPr>
          <w:lang w:eastAsia="ko-KR"/>
        </w:rPr>
        <w:tab/>
      </w:r>
      <w:bookmarkEnd w:id="5"/>
      <w:r>
        <w:rPr>
          <w:lang w:eastAsia="ko-KR"/>
        </w:rPr>
        <w:t>Introduction</w:t>
      </w:r>
      <w:bookmarkEnd w:id="6"/>
      <w:bookmarkEnd w:id="7"/>
      <w:bookmarkEnd w:id="8"/>
      <w:bookmarkEnd w:id="9"/>
      <w:bookmarkEnd w:id="10"/>
      <w:bookmarkEnd w:id="11"/>
      <w:bookmarkEnd w:id="12"/>
      <w:bookmarkEnd w:id="13"/>
    </w:p>
    <w:p>
      <w:pPr>
        <w:pStyle w:val="EditorsNote"/>
      </w:pPr>
      <w:r>
        <w:t>Editor's note:</w:t>
      </w:r>
      <w:r>
        <w:tab/>
        <w:t>This clause lists the key issue(s) addressed by this solution.</w:t>
      </w:r>
    </w:p>
    <w:p>
      <w:pPr>
        <w:rPr>
          <w:lang w:eastAsia="ko-KR"/>
        </w:rPr>
      </w:pPr>
      <w:bookmarkStart w:id="14" w:name="_Toc16839384"/>
      <w:bookmarkStart w:id="15" w:name="_Toc21087543"/>
      <w:r>
        <w:rPr>
          <w:rFonts w:hint="eastAsia"/>
          <w:lang w:eastAsia="ko-KR"/>
        </w:rPr>
        <w:t>T</w:t>
      </w:r>
      <w:r>
        <w:rPr>
          <w:lang w:eastAsia="ko-KR"/>
        </w:rPr>
        <w:t>his solution addresses Key Issue #3: Supporting MA PDU with 3GPP access leg over EPC and Non-3GPP access leg over 5GC.</w:t>
      </w:r>
    </w:p>
    <w:p>
      <w:pPr>
        <w:pStyle w:val="30"/>
        <w:rPr>
          <w:lang w:eastAsia="ko-KR"/>
        </w:rPr>
      </w:pPr>
      <w:bookmarkStart w:id="16" w:name="_Toc23326077"/>
      <w:bookmarkStart w:id="17" w:name="_Toc23517598"/>
      <w:bookmarkStart w:id="18" w:name="_Toc23519157"/>
      <w:bookmarkStart w:id="19" w:name="_Toc43336556"/>
      <w:bookmarkStart w:id="20" w:name="_Toc43708110"/>
      <w:bookmarkStart w:id="21" w:name="_Toc43708184"/>
      <w:bookmarkStart w:id="22" w:name="_Toc43708260"/>
      <w:r>
        <w:rPr>
          <w:lang w:eastAsia="ko-KR"/>
        </w:rPr>
        <w:t>6.X.2</w:t>
      </w:r>
      <w:r>
        <w:rPr>
          <w:lang w:eastAsia="ko-KR"/>
        </w:rPr>
        <w:tab/>
      </w:r>
      <w:bookmarkEnd w:id="14"/>
      <w:bookmarkEnd w:id="15"/>
      <w:bookmarkEnd w:id="16"/>
      <w:r>
        <w:rPr>
          <w:lang w:eastAsia="ko-KR"/>
        </w:rPr>
        <w:t>High-level Description</w:t>
      </w:r>
      <w:bookmarkEnd w:id="17"/>
      <w:bookmarkEnd w:id="18"/>
      <w:bookmarkEnd w:id="19"/>
      <w:bookmarkEnd w:id="20"/>
      <w:bookmarkEnd w:id="21"/>
      <w:bookmarkEnd w:id="22"/>
    </w:p>
    <w:p>
      <w:pPr>
        <w:pStyle w:val="EditorsNote"/>
      </w:pPr>
      <w:r>
        <w:t>Editor's note:</w:t>
      </w:r>
      <w:r>
        <w:tab/>
        <w:t>This clause outlines solution principles, assumptions and high-level architectures, etc.</w:t>
      </w:r>
    </w:p>
    <w:p>
      <w:pPr>
        <w:pStyle w:val="B1"/>
        <w:ind w:left="0" w:firstLine="0"/>
        <w:rPr>
          <w:lang w:eastAsia="ko-KR"/>
        </w:rPr>
      </w:pPr>
      <w:bookmarkStart w:id="23" w:name="_Toc16839385"/>
      <w:bookmarkStart w:id="24" w:name="_Toc21087544"/>
      <w:r>
        <w:rPr>
          <w:rFonts w:hint="eastAsia"/>
          <w:lang w:eastAsia="ko-KR"/>
        </w:rPr>
        <w:t>In Rel-16 ATSS</w:t>
      </w:r>
      <w:r>
        <w:rPr>
          <w:lang w:eastAsia="ko-KR"/>
        </w:rPr>
        <w:t>S, ATSSS interworking for 5G-RG, i.e. MA PDU Session with 3GPP access leg over EPC and Non-3GPP access leg over 5GC, is introduced without significant impact to EPC. So the same solution can be used for general UEs. However, there is a limitation that only for IP-based PDU Session is supported.</w:t>
      </w:r>
    </w:p>
    <w:p>
      <w:r>
        <w:rPr>
          <w:lang w:eastAsia="ko-KR"/>
        </w:rPr>
        <w:t>In Rel-17, because we are extending the ATSSS interworking for 5G-RG to general UEs, it is reasonable to extend supported session types to Ethernet</w:t>
      </w:r>
      <w:r>
        <w:rPr>
          <w:rFonts w:hint="eastAsia"/>
          <w:lang w:eastAsia="ko-KR"/>
        </w:rPr>
        <w:t xml:space="preserve"> PDU Session type</w:t>
      </w:r>
      <w:r>
        <w:rPr>
          <w:lang w:eastAsia="ko-KR"/>
        </w:rPr>
        <w:t>. There is no procedure change to support Ethernet PDU Session type.</w:t>
      </w:r>
    </w:p>
    <w:p>
      <w:pPr>
        <w:pStyle w:val="30"/>
      </w:pPr>
      <w:bookmarkStart w:id="25" w:name="_Toc23326078"/>
      <w:bookmarkStart w:id="26" w:name="_Toc23517599"/>
      <w:bookmarkStart w:id="27" w:name="_Toc23519158"/>
      <w:bookmarkStart w:id="28" w:name="_Toc43336557"/>
      <w:bookmarkStart w:id="29" w:name="_Toc43708111"/>
      <w:bookmarkStart w:id="30" w:name="_Toc43708185"/>
      <w:bookmarkStart w:id="31" w:name="_Toc43708261"/>
      <w:r>
        <w:lastRenderedPageBreak/>
        <w:t>6.X.3</w:t>
      </w:r>
      <w:r>
        <w:tab/>
        <w:t>Procedures</w:t>
      </w:r>
      <w:bookmarkEnd w:id="23"/>
      <w:bookmarkEnd w:id="24"/>
      <w:bookmarkEnd w:id="25"/>
      <w:bookmarkEnd w:id="26"/>
      <w:bookmarkEnd w:id="27"/>
      <w:bookmarkEnd w:id="28"/>
      <w:bookmarkEnd w:id="29"/>
      <w:bookmarkEnd w:id="30"/>
      <w:bookmarkEnd w:id="31"/>
    </w:p>
    <w:p>
      <w:pPr>
        <w:rPr>
          <w:lang w:val="en-US" w:eastAsia="ko-KR"/>
        </w:rPr>
      </w:pPr>
      <w:r>
        <w:t>Figure 6.X.3-1 shows procedure to establish MA PDU Session with 3GPP access leg in EPC and non-3GPP access leg in 5GC. Details of this procedure follows the same procedure as described in TS</w:t>
      </w:r>
      <w:r>
        <w:rPr>
          <w:lang w:val="en-US"/>
        </w:rPr>
        <w:t> 23.316. There is no actual procedure change compared to exiting procedure.</w:t>
      </w:r>
    </w:p>
    <w:bookmarkStart w:id="32" w:name="_Toc16839386"/>
    <w:bookmarkStart w:id="33" w:name="_Toc21087545"/>
    <w:p>
      <w:pPr>
        <w:keepNext/>
        <w:jc w:val="center"/>
      </w:pPr>
      <w:r>
        <w:object w:dxaOrig="28308" w:dyaOrig="15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50.5pt" o:ole="">
            <v:imagedata r:id="rId8" o:title=""/>
          </v:shape>
          <o:OLEObject Type="Embed" ProgID="Visio.Drawing.11" ShapeID="_x0000_i1025" DrawAspect="Content" ObjectID="_1658834153" r:id="rId9"/>
        </w:object>
      </w:r>
    </w:p>
    <w:p>
      <w:pPr>
        <w:pStyle w:val="TF"/>
        <w:rPr>
          <w:rFonts w:eastAsia="MS Mincho"/>
        </w:rPr>
      </w:pPr>
      <w:r>
        <w:t>Figure 6.X.3-1. MA PDU Establishment with 3GPP leg in EPC and non-3GPP leg in 5GC</w:t>
      </w:r>
    </w:p>
    <w:p>
      <w:pPr>
        <w:pStyle w:val="B1"/>
        <w:rPr>
          <w:lang w:eastAsia="ko-KR"/>
        </w:rPr>
      </w:pPr>
      <w:r>
        <w:rPr>
          <w:rFonts w:hint="eastAsia"/>
          <w:lang w:eastAsia="ko-KR"/>
        </w:rPr>
        <w:t>1.</w:t>
      </w:r>
      <w:r>
        <w:rPr>
          <w:lang w:eastAsia="ko-KR"/>
        </w:rPr>
        <w:tab/>
        <w:t>In the EPC, the UE sends PDN Connectivity Request message to create 3GPP leg of MA PDU Session. If the UE knows that EPC supports Ethernet PDN Type, the UE requests the sets PDN Type to Ethernet in the PDN Connectivity Request. If the UE does not know whether EPC supports Ethernet PDN Type, the UE can try to establish Ethernet PDN Connection. If the EPC does support Ethernet PDN Type, the request will be rejected and the UE requests PDN Connection with non-IP PDN Type.</w:t>
      </w:r>
    </w:p>
    <w:p>
      <w:pPr>
        <w:pStyle w:val="B1"/>
        <w:rPr>
          <w:lang w:eastAsia="ko-KR"/>
        </w:rPr>
      </w:pPr>
      <w:r>
        <w:rPr>
          <w:lang w:eastAsia="ko-KR"/>
        </w:rPr>
        <w:tab/>
        <w:t>In the PCO of PDN Connectivity Request message, the UE includes MA PDU indication and ATSSS Capability according to the Rel-16 procedure.</w:t>
      </w:r>
    </w:p>
    <w:p>
      <w:pPr>
        <w:pStyle w:val="B1"/>
        <w:rPr>
          <w:lang w:eastAsia="ko-KR"/>
        </w:rPr>
      </w:pPr>
      <w:r>
        <w:rPr>
          <w:lang w:eastAsia="ko-KR"/>
        </w:rPr>
        <w:t>2.</w:t>
      </w:r>
      <w:r>
        <w:rPr>
          <w:lang w:eastAsia="ko-KR"/>
        </w:rPr>
        <w:tab/>
      </w:r>
      <w:r>
        <w:rPr>
          <w:rFonts w:hint="eastAsia"/>
          <w:lang w:eastAsia="ko-KR"/>
        </w:rPr>
        <w:t>T</w:t>
      </w:r>
      <w:r>
        <w:rPr>
          <w:lang w:eastAsia="ko-KR"/>
        </w:rPr>
        <w:t>he MME sends Create Session Request to the PGW-C+SMF including PCO. The MME selects PGW-C+SMF based on APN in the PDN Connectivity Request message, which is the same with Rel-16 behaviour. It means that deployment shall ensure that all PGW-C+SMF(s) configured to support the APN are capable to support ATSSS.</w:t>
      </w:r>
    </w:p>
    <w:p>
      <w:pPr>
        <w:pStyle w:val="B1"/>
        <w:rPr>
          <w:rFonts w:eastAsia="Yu Mincho"/>
          <w:lang w:val="en-US" w:eastAsia="ko-KR"/>
        </w:rPr>
      </w:pPr>
      <w:r>
        <w:rPr>
          <w:lang w:eastAsia="ko-KR"/>
        </w:rPr>
        <w:t>3.</w:t>
      </w:r>
      <w:r>
        <w:rPr>
          <w:lang w:eastAsia="ko-KR"/>
        </w:rPr>
        <w:tab/>
      </w:r>
      <w:r>
        <w:t xml:space="preserve">If the UE request is accepted, when the PGW-C+SMF establishes user plane, the PGW-C+SMF selects an PGW-U+UPF based on local configuration. </w:t>
      </w:r>
    </w:p>
    <w:p>
      <w:pPr>
        <w:pStyle w:val="NO"/>
        <w:rPr>
          <w:lang w:eastAsia="ko-KR"/>
        </w:rPr>
      </w:pPr>
      <w:r>
        <w:rPr>
          <w:rFonts w:eastAsia="Yu Mincho"/>
          <w:lang w:val="en-US"/>
        </w:rPr>
        <w:t>NOTE:</w:t>
      </w:r>
      <w:r>
        <w:rPr>
          <w:rFonts w:eastAsia="Yu Mincho"/>
          <w:lang w:val="en-US"/>
        </w:rPr>
        <w:tab/>
      </w:r>
      <w:r>
        <w:t>It is assumed that the operator configuration shall ensure that both UE and PGW-C+SMF is configured to know associated PDU Session type for the corresponding APN</w:t>
      </w:r>
      <w:r>
        <w:rPr>
          <w:lang w:val="en-US"/>
        </w:rPr>
        <w:t>/DNN</w:t>
      </w:r>
      <w:r>
        <w:t xml:space="preserve">. This assumption is aligned with EPS to 5GS interworking procedure </w:t>
      </w:r>
      <w:r>
        <w:rPr>
          <w:lang w:val="en-US"/>
        </w:rPr>
        <w:t xml:space="preserve">as </w:t>
      </w:r>
      <w:r>
        <w:t>described in TS</w:t>
      </w:r>
      <w:r>
        <w:rPr>
          <w:lang w:val="en-US"/>
        </w:rPr>
        <w:t xml:space="preserve"> 23.502 </w:t>
      </w:r>
      <w:r>
        <w:t>clause</w:t>
      </w:r>
      <w:r>
        <w:rPr>
          <w:lang w:val="en-US"/>
        </w:rPr>
        <w:t> 4.11.1.2.2.1</w:t>
      </w:r>
      <w:r>
        <w:t>.</w:t>
      </w:r>
    </w:p>
    <w:p>
      <w:pPr>
        <w:pStyle w:val="B1"/>
      </w:pPr>
      <w:r>
        <w:t>4.</w:t>
      </w:r>
      <w:r>
        <w:tab/>
        <w:t>The PGW-C+SMF sends Create Session Response to the MME with PCO, which contains ATSSS information.</w:t>
      </w:r>
    </w:p>
    <w:p>
      <w:pPr>
        <w:pStyle w:val="B1"/>
        <w:rPr>
          <w:lang w:eastAsia="ko-KR"/>
        </w:rPr>
      </w:pPr>
      <w:r>
        <w:t>5.</w:t>
      </w:r>
      <w:r>
        <w:tab/>
        <w:t>The MME sends PDN Connectivity Accept message to the UE.</w:t>
      </w:r>
    </w:p>
    <w:p>
      <w:pPr>
        <w:pStyle w:val="B1"/>
        <w:rPr>
          <w:lang w:val="en-US"/>
        </w:rPr>
      </w:pPr>
      <w:r>
        <w:t>6.</w:t>
      </w:r>
      <w:r>
        <w:tab/>
        <w:t>In the 5GC, the UE sends PDU Session Establishment Request message over non-3GPP access to establish non-3GPP access leg. The UE sets the PDU Session type based on configuration in the UE. This should be the same PDU Session type selected by the PGW-C+SMF in step 3.</w:t>
      </w:r>
    </w:p>
    <w:p>
      <w:pPr>
        <w:pStyle w:val="B1"/>
        <w:rPr>
          <w:rFonts w:eastAsiaTheme="minorEastAsia"/>
          <w:lang w:val="en-US" w:eastAsia="ko-KR"/>
        </w:rPr>
      </w:pPr>
      <w:r>
        <w:rPr>
          <w:rFonts w:eastAsiaTheme="minorEastAsia" w:hint="eastAsia"/>
          <w:lang w:val="en-US" w:eastAsia="ko-KR"/>
        </w:rPr>
        <w:t>7.</w:t>
      </w:r>
      <w:r>
        <w:rPr>
          <w:rFonts w:eastAsiaTheme="minorEastAsia" w:hint="eastAsia"/>
          <w:lang w:val="en-US" w:eastAsia="ko-KR"/>
        </w:rPr>
        <w:tab/>
      </w:r>
      <w:r>
        <w:rPr>
          <w:rFonts w:eastAsiaTheme="minorEastAsia"/>
          <w:lang w:val="en-US" w:eastAsia="ko-KR"/>
        </w:rPr>
        <w:t>The AMF selects PGW-C+SMF based on existing mechanism, i.e. PDU Session ID provided by the UE.</w:t>
      </w:r>
    </w:p>
    <w:p>
      <w:pPr>
        <w:pStyle w:val="B1"/>
        <w:rPr>
          <w:rFonts w:eastAsiaTheme="minorEastAsia"/>
          <w:lang w:val="en-US" w:eastAsia="ko-KR"/>
        </w:rPr>
      </w:pPr>
      <w:r>
        <w:rPr>
          <w:rFonts w:eastAsiaTheme="minorEastAsia"/>
          <w:lang w:val="en-US" w:eastAsia="ko-KR"/>
        </w:rPr>
        <w:t>8.</w:t>
      </w:r>
      <w:r>
        <w:rPr>
          <w:rFonts w:eastAsiaTheme="minorEastAsia"/>
          <w:lang w:val="en-US" w:eastAsia="ko-KR"/>
        </w:rPr>
        <w:tab/>
        <w:t>The PGW-C+SMF modifies N4 Session to add non-3GPP access leg.</w:t>
      </w:r>
    </w:p>
    <w:p>
      <w:pPr>
        <w:pStyle w:val="B1"/>
        <w:rPr>
          <w:rFonts w:eastAsiaTheme="minorEastAsia"/>
          <w:lang w:val="en-US" w:eastAsia="ko-KR"/>
        </w:rPr>
      </w:pPr>
      <w:r>
        <w:rPr>
          <w:rFonts w:eastAsiaTheme="minorEastAsia"/>
          <w:lang w:val="en-US" w:eastAsia="ko-KR"/>
        </w:rPr>
        <w:lastRenderedPageBreak/>
        <w:t>9-10.</w:t>
      </w:r>
      <w:r>
        <w:rPr>
          <w:rFonts w:eastAsiaTheme="minorEastAsia"/>
          <w:lang w:val="en-US" w:eastAsia="ko-KR"/>
        </w:rPr>
        <w:tab/>
        <w:t>The PGW-C+SMF sends PDU Session Establishment Accept message to the UE including ATSSS rules.</w:t>
      </w:r>
    </w:p>
    <w:p>
      <w:pPr>
        <w:pStyle w:val="30"/>
      </w:pPr>
      <w:bookmarkStart w:id="34" w:name="_Toc23326079"/>
      <w:bookmarkStart w:id="35" w:name="_Toc23517600"/>
      <w:bookmarkStart w:id="36" w:name="_Toc23519159"/>
      <w:bookmarkStart w:id="37" w:name="_Toc43336558"/>
      <w:bookmarkStart w:id="38" w:name="_Toc43708112"/>
      <w:bookmarkStart w:id="39" w:name="_Toc43708186"/>
      <w:bookmarkStart w:id="40" w:name="_Toc43708262"/>
      <w:r>
        <w:t>6.X.4</w:t>
      </w:r>
      <w:r>
        <w:tab/>
      </w:r>
      <w:bookmarkEnd w:id="32"/>
      <w:bookmarkEnd w:id="33"/>
      <w:bookmarkEnd w:id="34"/>
      <w:r>
        <w:t xml:space="preserve">Impacts on </w:t>
      </w:r>
      <w:bookmarkEnd w:id="35"/>
      <w:bookmarkEnd w:id="36"/>
      <w:r>
        <w:t>services, entities, interfaces and IETF protocols</w:t>
      </w:r>
      <w:bookmarkEnd w:id="37"/>
      <w:bookmarkEnd w:id="38"/>
      <w:bookmarkEnd w:id="39"/>
      <w:bookmarkEnd w:id="40"/>
    </w:p>
    <w:p>
      <w:pPr>
        <w:keepLines/>
        <w:ind w:left="1135" w:hanging="851"/>
        <w:rPr>
          <w:color w:val="FF0000"/>
        </w:rPr>
      </w:pPr>
      <w:r>
        <w:rPr>
          <w:color w:val="FF0000"/>
        </w:rPr>
        <w:t>Editor's note:</w:t>
      </w:r>
      <w:r>
        <w:rPr>
          <w:color w:val="FF0000"/>
        </w:rPr>
        <w:tab/>
        <w:t>This clause describes impacts to existing services and interfaces.</w:t>
      </w:r>
    </w:p>
    <w:p>
      <w:pPr>
        <w:pStyle w:val="B1"/>
        <w:rPr>
          <w:lang w:eastAsia="ko-KR"/>
        </w:rPr>
      </w:pPr>
      <w:r>
        <w:rPr>
          <w:rFonts w:hint="eastAsia"/>
          <w:lang w:eastAsia="ko-KR"/>
        </w:rPr>
        <w:t>-</w:t>
      </w:r>
      <w:r>
        <w:rPr>
          <w:rFonts w:hint="eastAsia"/>
          <w:lang w:eastAsia="ko-KR"/>
        </w:rPr>
        <w:tab/>
      </w:r>
      <w:r>
        <w:rPr>
          <w:lang w:eastAsia="ko-KR"/>
        </w:rPr>
        <w:t>For both EPS and 5GS, there is no changes to existing procedures.</w:t>
      </w:r>
    </w:p>
    <w:p>
      <w:pPr>
        <w:rPr>
          <w:lang w:eastAsia="ko-KR"/>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00000287" w:usb1="08070000" w:usb2="00000010"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DC51-8323-4176-8096-2BDA7CC0C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712</Words>
  <Characters>4061</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Myungjune@LGE_r1</dc:creator>
  <cp:keywords/>
  <cp:lastModifiedBy>Myungjune@LGE</cp:lastModifiedBy>
  <cp:revision>2</cp:revision>
  <cp:lastPrinted>2003-09-26T02:29:00Z</cp:lastPrinted>
  <dcterms:created xsi:type="dcterms:W3CDTF">2020-08-13T05:29:00Z</dcterms:created>
  <dcterms:modified xsi:type="dcterms:W3CDTF">2020-08-13T05:29:00Z</dcterms:modified>
</cp:coreProperties>
</file>